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rPr/>
      </w:pPr>
      <w:r>
        <w:rPr>
          <w:rFonts w:cs="Cambria"/>
          <w:b/>
          <w:bCs/>
          <w:sz w:val="28"/>
          <w:szCs w:val="28"/>
        </w:rPr>
        <w:t>Wymagania edukacyjne</w:t>
      </w:r>
      <w:bookmarkStart w:id="0" w:name="_Toc94780121"/>
      <w:bookmarkStart w:id="1" w:name="_Toc76044143"/>
      <w:r>
        <w:rPr/>
        <w:t xml:space="preserve"> z religii dla klasy drugiej liceum</w:t>
      </w:r>
      <w:bookmarkEnd w:id="0"/>
      <w:bookmarkEnd w:id="1"/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2120"/>
        <w:gridCol w:w="2118"/>
        <w:gridCol w:w="2119"/>
        <w:gridCol w:w="2118"/>
        <w:gridCol w:w="2119"/>
        <w:gridCol w:w="2118"/>
      </w:tblGrid>
      <w:tr>
        <w:trPr>
          <w:tblHeader w:val="true"/>
          <w:trHeight w:val="336" w:hRule="atLeast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ind w:hanging="0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ROZDZIAŁ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CELUJĄCY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BARDZO DOBRY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DOBRY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DOSTATECZNY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DOPUSZCZAJĄCY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227" w:hanging="227"/>
              <w:jc w:val="center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NIEDOSTATECZNY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I. U źródła wiary i rozumu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 życiu codziennym kieruje się dobrem własnym i drugiego człowieka.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Opowiada historię życia bł. Carlo Acutisa.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Wyjaśnia poglądy filozoficzne i logiczne na istnienie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Potrafi scharakteryzować wiarę jako ciągłe podejmowanie wysiłku poszukiwania i odkrywania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Wyjaśnia rolę rozumu w poszukiwaniu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Charakteryzuje Noego i Abrahama oraz ich postawę posłuszeństwa względem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Ukazuje możliwości poznania Boga na drodze rozumu i serca na przykładach postaci biblijnych.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Charakteryzuje posłuszeństwo Maryi i Józefa względem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 xml:space="preserve">Analizuje hymn </w:t>
            </w:r>
            <w:r>
              <w:rPr>
                <w:rStyle w:val="Kursywa"/>
                <w:sz w:val="20"/>
                <w:szCs w:val="20"/>
              </w:rPr>
              <w:t>Magnificat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Charakteryzuje postaci biblijne, które są wzorem modlitwy (Abraham, Mojżesz, król Dawid, Salomon, Maryja).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kim był bł. Carlo Acutis.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Zna zagadnienia związane z pięcioma drogami poznania Boga św. Tomasza z Akwinu.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Opisuje wiarę i rozum jako dwa elementy, dzięki którym można poznawać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Wymienia i omawia postaci Starego i Nowego Testamentu, które były posłuszne Bogu.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Wyjaśnia, na czym polegało posłuszeństwo postaci biblijnych.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 xml:space="preserve">Zna hymn </w:t>
            </w:r>
            <w:r>
              <w:rPr>
                <w:rStyle w:val="Kursywa"/>
                <w:sz w:val="20"/>
                <w:szCs w:val="20"/>
              </w:rPr>
              <w:t>Magnificat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 pomocą nauczyciela podaje podstawowe informacje na temat sposobów poznawania Boga.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czym jest wiara.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Wymienia postaci biblijne, które charakteryzowały się posłuszeństwem i te, których modlitwa jest wzorem do naśladowania.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 xml:space="preserve">Wie, kto i kiedy powiedział hymn </w:t>
            </w:r>
            <w:r>
              <w:rPr>
                <w:rStyle w:val="Kursywa"/>
                <w:sz w:val="20"/>
                <w:szCs w:val="20"/>
              </w:rPr>
              <w:t>Magnificat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jest wiara, a czym rozum.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Wymienia postaci z Nowego Testamentu, których pokora jest wzorem do naśladowania.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 xml:space="preserve">Zna </w:t>
            </w:r>
            <w:r>
              <w:rPr>
                <w:rStyle w:val="Kursywa"/>
                <w:sz w:val="20"/>
                <w:szCs w:val="20"/>
              </w:rPr>
              <w:t>Akt wiary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Style w:val="Bold"/>
                <w:sz w:val="20"/>
                <w:szCs w:val="20"/>
              </w:rPr>
              <w:t>II. U źródła Miłosierdzia i modlitwy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Wykonał dodatkową pracę np. prezentację związaną z omawianymi tematami (np. o Biblii).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Wymienia i wyjaśnia tytuły mesjańskie Jezusa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Analizuje Kazanie na Górze, które wypowiedział Jezus.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 xml:space="preserve">Wyjaśnia pojęcie </w:t>
            </w:r>
            <w:r>
              <w:rPr>
                <w:rStyle w:val="Kursywa"/>
                <w:sz w:val="20"/>
                <w:szCs w:val="20"/>
              </w:rPr>
              <w:t>Miłosierdzia Bożego</w:t>
            </w:r>
            <w:r>
              <w:rPr>
                <w:iCs/>
                <w:sz w:val="20"/>
                <w:szCs w:val="20"/>
              </w:rPr>
              <w:t>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Wyjaśnia, na czym polega Miłosierdzie Boże.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Opowiada historie życia świadków Miłosierdzia: św. Faustyny Kowalskiej, bł. Michała Sopoćko i św. Jana Pawła II.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Wyjaśnia wartość modlitwy.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Wymienia i omawia formy modlitwy (ustna, rozmyślanie, kontemplacja).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Omawia trudności na modlitwie, które mogą się pojawić.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Podaje możliwe sposoby na przezwyciężenie problemów podczas modlitwy.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  <w:tab/>
              <w:t>Wymienia i wyjaśnia formy pobożności ludowej.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  <w:tab/>
              <w:t>Broni wartości form pobożności ludowej.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  <w:tab/>
              <w:t>Wymienia i omawia duchowość chrześcijańską okresu odrodzenia.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Zna i wie, czym są tytuły mesjańskie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Zna treść Kazania na Górze.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Wie, czym jest Miłosierdzie Boże i potrafi wymienić osoby, które szczególnie propagowały jego kult.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Wie, że podczas modlitwy mogą wystąpić różne problemy.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Szuka sposobów na przezwyciężenie trudności na modlitwie.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Wymienia formy pobożności ludowej.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Wymienia zakony i postaci, które są związane z duchowością epoki odrodzenia.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 pomocą nauczyciela wymienia tytuły mesjańskie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co zawiera Kazanie na Górze.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Zna świadków Bożego Miłosierdzia: św. Faustynę Kowalską, bł. Michała Sopoćko i św. Jana Pawła II.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Zauważa formy pobożności ludowej w swojej parafii.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Wie, kim był Ignacy Loyola i zna historię jego nawrócenia.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są tytuły mesjańskie.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czym jest miłosierdzie.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Wymienia świadków Bożego Miłosierdzia.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III. U źródła moralności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Jest wzorem i przykładem dla innych uczniów, kierując się w życiu codziennym wartościami chrześcijańskimi.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Wyjaśnia rolę cnót w życiu człowieka.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Omawia znaczenie Dekalogu w formacji moralnej chrześcijanina.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Omawia prawa, zakazy i nakazy wypływające z przykazań Dekalogu.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Omawia rolę sztuki sakralnej i brak sprzeczności między nią a I przykazaniem Bożym.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Wyjaśnia, w jaki sposób działają sekty.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Ukazuje chrześcijański styl świętowania niedzieli.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Wyjaśnia, dlaczego Bóg jest Panem i dawcą życia.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 xml:space="preserve">Wyjaśnia, dlaczego </w:t>
            </w:r>
            <w:r>
              <w:rPr>
                <w:rStyle w:val="Kursywa"/>
                <w:sz w:val="20"/>
                <w:szCs w:val="20"/>
              </w:rPr>
              <w:t>in vitro</w:t>
            </w:r>
            <w:r>
              <w:rPr>
                <w:sz w:val="20"/>
                <w:szCs w:val="20"/>
              </w:rPr>
              <w:t>, aborcja i eutanazja godzą w dobro osoby i niszczą ludzką godność.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Omawia wartość czystości w relacjach międzyludzkich.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  <w:tab/>
              <w:t>Przedstawia i uzasadnia naukę Kościoła dotyczącą wszystkich przykazań Dekalogu.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Wyjaśnia, czym jest Dekalog.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Omawia prawa, zakazy i nakazy wypływające z przykazań Dekalogu.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Wyjaśnia brak sprzeczności między sztuką sakralną a I przykazaniem Dekalogu.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Wie, czym jest sekta i jakimi metodami się posługuje.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 xml:space="preserve">Wyjaśnia, dlaczego aborcja, eutanazja i </w:t>
            </w:r>
            <w:r>
              <w:rPr>
                <w:rStyle w:val="Kursywa"/>
                <w:sz w:val="20"/>
                <w:szCs w:val="20"/>
              </w:rPr>
              <w:t>in vitro</w:t>
            </w:r>
            <w:r>
              <w:rPr>
                <w:sz w:val="20"/>
                <w:szCs w:val="20"/>
              </w:rPr>
              <w:t xml:space="preserve"> uderzają w godność osoby ludzkiej</w:t>
            </w:r>
            <w:r>
              <w:rPr>
                <w:iCs/>
                <w:sz w:val="20"/>
                <w:szCs w:val="20"/>
              </w:rPr>
              <w:t>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Wyjaśnia, na czym polega cnota czystości i dlaczego jest ważna.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Krótko opisuje przykazania Dekalogu.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jest Dekalog.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Z pomocą nauczyciela krótko omawia prawa i grzechy dotyczące poszczególnych przykazań Dekalogu.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 xml:space="preserve">Wie, że </w:t>
            </w:r>
            <w:r>
              <w:rPr>
                <w:rStyle w:val="Kursywa"/>
                <w:sz w:val="20"/>
                <w:szCs w:val="20"/>
              </w:rPr>
              <w:t>in vitro</w:t>
            </w:r>
            <w:r>
              <w:rPr>
                <w:sz w:val="20"/>
                <w:szCs w:val="20"/>
              </w:rPr>
              <w:t>, aborcja i eutanazja są złe i niszczą naturalne relacje między ludźmi.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Wie, dlaczego czystość jest wartością.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Zna treść Dekalogu.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że zabijanie człowieka (niezależnie od etapu rozwoju) jest złe.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Wie, czym jest czystość w relacjach między ludźmi.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IV. U źródła historii nowożytnej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Wykonał dodatkową pracę np. prezentację związaną z omawianymi tematami (np. o wybranej postaci historycznej).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Wskazuje na ogólny proces formowania się prawd wiary.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 xml:space="preserve">Wyjaśnia pojęcia: </w:t>
            </w:r>
            <w:r>
              <w:rPr>
                <w:rStyle w:val="Kursywa"/>
                <w:sz w:val="20"/>
                <w:szCs w:val="20"/>
              </w:rPr>
              <w:t>dogmat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rStyle w:val="Kursywa"/>
                <w:sz w:val="20"/>
                <w:szCs w:val="20"/>
              </w:rPr>
              <w:t>herezja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Przedstawia i analizuje wiadomości dotyczące tła i przyczyn reformacji w XVI wieku w Europie.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Omawia problemy w Kościele w czasach reformacji.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</w:r>
            <w:r>
              <w:rPr>
                <w:rFonts w:eastAsia="Calibri"/>
                <w:sz w:val="20"/>
                <w:szCs w:val="20"/>
                <w:lang w:eastAsia="en-US"/>
              </w:rPr>
              <w:t>Wymienia i potrafi odpowiedzieć na poglądy Marcina Lutra sprzeczne z nauką Kościoła.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Prezentuje postać św. Tomasza Morusa.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Omawia wiadomości dotyczące reformy w Kościele i najważniejsze postanowienia Soboru Trydenckiego.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Omawia inicjatywy podjęte na rzecz jedności chrześcijan i tolerancji religijnej na ziemiach polskich.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Omawia najważniejsze wiadomości dotyczące unii brzeskiej.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  <w:tab/>
              <w:t>Opisuje przebieg obrony Jasnej Góry.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  <w:tab/>
              <w:t>Omawia kontekst historyczny obrony Jasnej Góry.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  <w:tab/>
              <w:t>Przedstawia informacje dotyczące ślubów lwowskich Jana Kazimierza.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  <w:tab/>
              <w:t>Wyjaśnia rolę Maryi w historii narodu polskiego.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  <w:tab/>
              <w:t>Omawia tło historyczne odsieczy wiedeńskiej.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  <w:tab/>
              <w:t>Rozumie znaczenie odsieczy wiedeńskiej dla chrześcijan i ówczesnej Europy.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Wyjaśnia, czym jest dogmat i herezja.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Omawia przyczyny reformacji.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Zna poglądy Marcina Lutra sprzeczne z nauką Kościoła.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Omawia życie św. Tomasza Morusa.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Omawia najważniejsze postanowienia Soboru Trydenckiego.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Wyjaśnia, czym była unia brzeska.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Wie, kim był św. Jozafat Kuncewicz.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Omawia przebieg obrony Jasnej Góry.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Prezentuje wiadomości dotyczące ślubów Jana Kazimierza.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  <w:tab/>
              <w:t>Wyjaśnia rolę Maryi w dziejach narodu polskiego.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  <w:tab/>
              <w:t>Opisuje przebieg odsieczy wiedeńskiej.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  <w:tab/>
              <w:t>Rozumie znaczenie odsieczy wiedeńskiej dla chrześcijan i ówczesnej Europy.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 pomocą katechety omawia przyczyny reformacji.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kim był i dlaczego zginął św. Tomasz Morus.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Wie, na czym polegała tolerancja religijna w Polsce od XVI wieku.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Zna postać św. Jozafata Kuncewicza.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Podaje podstawowe informacje na temat obrony Jasnej Góry.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Wskazuje na rolę, jaką odegrała Maryja i religijność maryjna w Polsce.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Podaje podstawowe informacje na temat odsieczy Wiednia.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Rozumie potrzebę obrony wiary.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 pomocą nauczyciela omawia przyczyny reformacji.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Wymienia podstawowe postaci związane z reformacją.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 pomocą katechety podaje podstawowe informacje na temat obrony Jasnej Góry.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Rozumie rolę Maryi w historii Polski.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Zna głównego dowódcę oraz wie, kiedy była i między kim rozegrała się bitwa pod Wiedniem.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Rozumie potrzebę obrony wiary.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V. U źródła prawdy i wolności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Jest wzorem dla innych pod względem pilności i aktywności podczas lekcji.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Wyjaśnia, czym jest prawda, wolność i krzywoprzysięstwo.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Ukazuje wolność jako dążenie do prawdy i dobra.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Opisuje zagrożenia związane z negacją prawdy objawionej.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Uzasadnia obowiązek dawania świadectwa przez uczniów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Uzasadnia potrzebę zaangażowania w dzieło misyjne.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Podaje przykłady nawróceń.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Rozumie sens nawrócenia jako odwrócenia się od zła.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Wyjaśnia, czym jest prawda i wolność.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Opisuje zagrożenia związane z negacją prawdy.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Uzasadnia obowiązek dawania świadectwa przez uczniów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Uzasadnia potrzebę prowadzenia dzieł misyjnych.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Podaje przykłady nawróceń.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Rozumie sens nawrócenia.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jest prawda i wolność.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Z pomocą katechety uzasadnia obowiązek dawania świadectwa przez uczniów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 pomocą nauczyciela uzasadnia potrzebę prowadzenia dzieł misyjnych.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Wymienia kilku świętych, którzy się nawrócili.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Rozumie sens nawrócenia.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jest prawda i wolność.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że Kościół prowadzi dzieła misyjne, które należy wspierać.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Wie, że nieustannie należy się nawracać.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  <w:tr>
        <w:trPr/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ind w:hanging="0"/>
              <w:jc w:val="left"/>
              <w:rPr>
                <w:rStyle w:val="Bold"/>
                <w:sz w:val="20"/>
                <w:szCs w:val="20"/>
              </w:rPr>
            </w:pPr>
            <w:r>
              <w:rPr>
                <w:rStyle w:val="Bold"/>
                <w:sz w:val="20"/>
                <w:szCs w:val="20"/>
              </w:rPr>
              <w:t>VI. U źródła liturgii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Opanował materiał przewidziany programem w stopniu bardzo dobrym.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Wykazuje się wiadomościami wykraczającymi poza program.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Uzupełnia zdobytą na lekcjach wiedzę przez lekturę Pisma Świętego, czytanie książek religijnych, prasy katolickiej, korzystanie ze stron internetowych o tematyce religijnej.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Aktywnie uczestniczy w lekcji i biegle posługuje się zdobytą wiedzą.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Jest wzorem i przykładem dla innych uczniów.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Omawia rok liturgiczny jako rozwinięcie różnych aspektów jedynego Misterium Paschalnego.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Uzasadnia, że uczestnictwo w liturgii jest pogłębieniem relacji z Jezusem i Kościołem.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Omawia rytm modlitwy w cyklu roku liturgicznego, tygodnia i dnia.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Omawia działanie Trójcy Świętej w liturgii.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Wymienia motywy przyjścia Syna Bożego na świat.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Wymienia okoliczności wydarzeń Wielkiego Tygodnia.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Omawia przebieg męki, śmierci i pochowania Jezusa w grobie.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Uzasadnia potrzebę udziału w nabożeństwach Drogi Krzyżowej i Gorzkich Żali.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Wymienia najważniejsze wydarzenia związane ze zmartwychwstaniem Jezusa Chrystusa.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  <w:tab/>
              <w:t>Interpretuje wydarzenia związane ze zmartwychwstaniem Jezusa.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  <w:tab/>
              <w:t>Uzasadnia kult świętych w obchodach roku liturgicznego.</w:t>
            </w:r>
          </w:p>
          <w:p>
            <w:pPr>
              <w:pStyle w:val="Punktppauza2"/>
              <w:bidi w:val="0"/>
              <w:ind w:left="227" w:hanging="31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  <w:tab/>
              <w:t>Wymienia świętych, zna historie ich życia i dni ich wspomnień w Kościele.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Zna i omawia kolory liturgiczne.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Uzasadnia potrzebę uczestniczenia w liturgii Kościoła.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Omawia rytm modlitwy w ciągu roku, tygodnia i dnia.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Wskazuje na działanie Trójcy Świętej w liturgii.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Wymienia motywy przyjścia Syna Bożego na świat.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Omawia przebieg męki i śmierci Jezusa.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Uzasadnia potrzebę uczestnictwa w nabożeństwach wielkopostnych.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  <w:tab/>
              <w:t>Wymienia najważniejsze wydarzenia związane ze zmartwychwstaniem Jezusa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  <w:tab/>
              <w:t>Uzasadnia kult świętych w obchodach roku liturgicznego.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Wie, czym jest rok liturgiczny.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że podczas sprawowania liturgii działa Bóg w Trójcy.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 pomocą katechety wymienia motywy przyjścia Syna Bożego na świat.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Z pomocą katechety opisuje przebieg męki i śmierci Jezusa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Zna stacje Drogi Krzyżowej.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Z pomocą katechety wymienia kilka wydarzeń po zmartwychwstaniu Chrystusa.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>Wymienia kilku świętych.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 xml:space="preserve">Samodzielnie potrafi odmówić modlitwę </w:t>
            </w:r>
            <w:r>
              <w:rPr>
                <w:rStyle w:val="Kursywa"/>
                <w:sz w:val="20"/>
                <w:szCs w:val="20"/>
              </w:rPr>
              <w:t>Ojcze nasz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Wie, że Syn Boży stał się człowiekiem, aby zbawić ludzi.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Z pomocą katechety wymienia stacje Drogi Krzyżowej.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Wie, że Jezus umarł na krzyżu.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  <w:tab/>
              <w:t>Wie, że Jezus Chrystus zmartwychwstał i wie, co to znaczy.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  <w:tab/>
              <w:t>Wymienia kilku świętych.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  <w:tab/>
              <w:t>Nie opanował minimum wiedzy programowej na ocenę dopuszczającą.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  <w:tab/>
              <w:t>Nie pracuje podczas lekcji.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  <w:tab/>
              <w:t>Nie prowadzi zeszytu.</w:t>
            </w:r>
          </w:p>
          <w:p>
            <w:pPr>
              <w:pStyle w:val="Punktppauza2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  <w:tab/>
              <w:t>Nie skorzystał z pomocy nauczyciela i kolegów w celu poprawienia oceny.</w:t>
            </w:r>
          </w:p>
        </w:tc>
      </w:tr>
    </w:tbl>
    <w:p>
      <w:pPr>
        <w:pStyle w:val="Nagwek1"/>
        <w:bidi w:val="0"/>
        <w:spacing w:before="0" w:after="170"/>
        <w:rPr/>
      </w:pPr>
      <w:r>
        <w:rPr/>
      </w:r>
    </w:p>
    <w:sectPr>
      <w:footerReference w:type="even" r:id="rId2"/>
      <w:footerReference w:type="default" r:id="rId3"/>
      <w:type w:val="nextPage"/>
      <w:pgSz w:orient="landscape" w:w="16838" w:h="11906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9301502"/>
    </w:sdtPr>
    <w:sdtContent>
      <w:p>
        <w:pPr>
          <w:pStyle w:val="Stopka"/>
          <w:bidi w:val="0"/>
          <w:ind w:hanging="0"/>
          <w:jc w:val="lef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6745330"/>
    </w:sdtPr>
    <w:sdtContent>
      <w:p>
        <w:pPr>
          <w:pStyle w:val="Stopka"/>
          <w:bidi w:val="0"/>
          <w:ind w:hanging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85"/>
  <w:defaultTabStop w:val="709"/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pageBreakBefore/>
      <w:tabs>
        <w:tab w:val="clear" w:pos="709"/>
        <w:tab w:val="left" w:pos="432" w:leader="none"/>
        <w:tab w:val="left" w:pos="851" w:leader="none"/>
      </w:tabs>
      <w:suppressAutoHyphens w:val="true"/>
      <w:spacing w:before="0" w:after="170"/>
      <w:ind w:hanging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styleId="Bold">
    <w:name w:val="_bold"/>
    <w:qFormat/>
    <w:rPr>
      <w:b/>
      <w:bCs/>
      <w:color w:val="auto"/>
    </w:rPr>
  </w:style>
  <w:style w:type="character" w:styleId="Kursywa">
    <w:name w:val="_kursywa"/>
    <w:qFormat/>
    <w:rPr>
      <w:i/>
      <w:iC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tabs>
        <w:tab w:val="clear" w:pos="709"/>
        <w:tab w:val="left" w:pos="851" w:leader="none"/>
        <w:tab w:val="center" w:pos="4536" w:leader="none"/>
        <w:tab w:val="right" w:pos="9072" w:leader="none"/>
      </w:tabs>
      <w:suppressAutoHyphens w:val="true"/>
    </w:pPr>
    <w:rPr>
      <w:rFonts w:eastAsia="Times New Roman" w:cs="Calibri"/>
      <w:lang w:eastAsia="ar-SA"/>
    </w:rPr>
  </w:style>
  <w:style w:type="paragraph" w:styleId="Punktppauza1">
    <w:name w:val="_punkt_półpauza_1"/>
    <w:basedOn w:val="Normal"/>
    <w:qFormat/>
    <w:pPr>
      <w:ind w:left="568" w:hanging="284"/>
    </w:pPr>
    <w:rPr>
      <w:szCs w:val="24"/>
    </w:rPr>
  </w:style>
  <w:style w:type="paragraph" w:styleId="Punktppauza2">
    <w:name w:val="_punkt_półpauza_2"/>
    <w:basedOn w:val="Punktppauza1"/>
    <w:qFormat/>
    <w:pPr>
      <w:tabs>
        <w:tab w:val="clear" w:pos="709"/>
      </w:tabs>
      <w:ind w:left="851" w:hanging="28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8</Pages>
  <Words>2071</Words>
  <Characters>12345</Characters>
  <CharactersWithSpaces>14141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2022-08-31T15:35:17Z</dcterms:created>
  <dc:creator/>
  <dc:description/>
  <dc:language>pl-PL</dc:language>
  <cp:lastModifiedBy/>
  <dcterms:modified xsi:type="dcterms:W3CDTF">2022-08-31T15:36:04Z</dcterms:modified>
  <cp:revision>1</cp:revision>
  <dc:subject/>
  <dc:title/>
</cp:coreProperties>
</file>